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38</w:t>
      </w:r>
    </w:p>
    <w:p>
      <w:r>
        <w:t>Bundesgericht (BGE), 1999-11-10, DE</w:t>
      </w:r>
    </w:p>
    <w:p>
      <w:r>
        <w:rPr>
          <w:b/>
        </w:rPr>
        <w:t xml:space="preserve">Quelle: </w:t>
      </w:r>
      <w:r>
        <w:t>https://mcp.opencaselaw.ch/entscheid/bge_126 IV 38</w:t>
      </w:r>
    </w:p>
    <w:p>
      <w:r>
        <w:t>FR: ATF 126 IV 38</w:t>
      </w:r>
    </w:p>
    <w:p>
      <w:r>
        <w:t>IT: DTF 126 IV 38</w:t>
      </w:r>
    </w:p>
    <w:p>
      <w:pPr>
        <w:pStyle w:val="Heading2"/>
      </w:pPr>
      <w:r>
        <w:t>Regeste</w:t>
      </w:r>
    </w:p>
    <w:p>
      <w:r>
        <w:t>Regeste Art. 1, 2 und 9 OHG; Beurteilung der Zivilansprüche der Hinterbliebenen des Opfers im Strafverfahren. Wird wegen eines vorsätzlichen Gewaltdelikts Anklage erhoben, hat sich der Strafrichter mit den unmittelbaren Folgen des Täterverhaltens in zivilrechtlicher Hinsicht auseinander zu setzen. Er muss auch auf Schadenersatz- und Genugtuungsansprüche eintreten, die ein Opfer oder eine dem Opfer gleichgestellte Person aufgrund der Deliktsfolgen geltend macht, auch wenn diese vom eingeklagten Tatbestand nicht erfasst wurden.</w:t>
      </w:r>
    </w:p>
    <w:p>
      <w:pPr>
        <w:pStyle w:val="Heading2"/>
      </w:pPr>
      <w:r>
        <w:t>Erwägungen</w:t>
      </w:r>
    </w:p>
    <w:p>
      <w:r>
        <w:rPr>
          <w:b/>
        </w:rPr>
        <w:t>E. 2</w:t>
      </w:r>
    </w:p>
    <w:p>
      <w:r>
        <w:t>a) Die Beschwerdeführer werfen der Vorinstanz vor, über die Zivilansprüche entgegen Art. 2 des Bundesgesetzes vom 4. Oktober 1991 über die Hilfe an Opfer von Straftaten (OHG; SR 312.5) nicht adhäsionsweise entschieden zu haben. Sie hätten ihre Begehren gestützt auf Art. 41, Art. 47 und Art. 49 OR und damit als Ausgleich BGE 126 IV 38 S. 40 für Tötung und Körperverletzung geltend gemacht. Auch wenn die Genugtuungsansprüche der Höhe nach für den Tod des Opfers gefordert worden seien, hätte die Vorinstanz "nach dem Grundsatz in maiore minus die Ansprüche festlegen müssen." Zudem rügen sie eine Verletzung von Art. 9 Abs. 3 OHG , da die Beurteilung der Zivilansprüche keinen unverhältnismässigen Aufwand erfordert hätte. Konkret gehe es um die Bemessung der drei Genugtuungen sowie den Ersatz des entstandenen Schadens, nämlich die Rechnungen der schweizerischen Bestattungsunternehmung, die Kosten für die Überführung der Leiche nach Marrakesch, die Flugbillete der Begleitpersonen und die Bestattungsauslagen an Ort. Die Vorinstanz hätte zumindest im Grundsatz über diese Anträge befinden müssen; eine gänzliche Verweisung derselben auf den Zivilweg sei nicht zulässig. b) Die Vorinstanz begründet das Nichteintreten auf die Zivilansprüche damit, dass der Tod des Opfers die Grundlage des geltend gemachten Schadens und der Genugtuung sei. Ein Tötungsdelikt sei vorliegend indessen nicht eingeklagt. Die Prüfung des adäquaten Kausalzusammenhangs zwischen dem Verhalten des Angeklagten und dem Tod des Opfers sei nicht Gegenstand des Strafverfahrens. Dem Strafgericht sei es daher verwehrt, über die Zivilansprüche zu entscheiden.</w:t>
      </w:r>
    </w:p>
    <w:p>
      <w:r>
        <w:rPr>
          <w:b/>
        </w:rPr>
        <w:t>E. 3</w:t>
      </w:r>
    </w:p>
    <w:p>
      <w:r>
        <w:t>a) Das Opferhilfegesetz strebt eine wirksame Hilfe für Opfer von Straftaten und eine Verbesserung ihrer Rechtsstellung an ( Art. 1 Abs. 1 OHG ; BGE 122 II 315 E. 4b). Es soll ihnen insbesondere die Durchsetzung der Schadenersatz- und Genugtuungsansprüche erleichtern ( Art. 8 und 9 OHG ). Der Strafrichter ist demnach von Bundesrechts wegen verpflichtet, zumindest im Grundsatz über Zivilforderungen zu befinden und darf den Ansprecher im Übrigen nur an die Zivilgerichte verweisen, soweit die vollständige Beurteilung seiner Begehren einen unverhältnismässigen Aufwand erfordern würde ( Art. 9 Abs. 3 OHG ). Dem Opfer einer Straftat gleichgestellt sind in verschiedener Hinsicht sein Ehegatte, seine Kinder und Eltern sowie andere Personen, die ihm in ähnlicher Weise nahestehen. So können auch die Angehörigen eines Opfers Verfahrensrechte ausüben und Zivilansprüche gegenüber dem Täter geltend machen ( Art. 2 Abs. 2 lit. b OHG ). In BGE 122 IV 71 E. 4a wurde festgehalten, dass für den Richter bei der Frage, ob jemand Rechte gemäss OHG geltend machen kann, der Anklagesachverhalt massgeblich ist, da der Anklagegrundsatz durch das OHG nicht beschränkt wird. Bei diesem Entscheid ging es um einen Verkehrsunfall, wobei gegen die für die Kollision verantwortliche BGE 126 IV 38 S. 41 Lenkerin wegen Fahrens in angetrunkenem Zustand und einfacher Verletzung verschiedener Verkehrsregeln Anklage erhoben wurde. Die Insassin des entgegenkommenden Fahrzeugs schien unmittelbar nach dem Unfall unverletzt zu sein und zeigte auch in den folgenden Monaten keine Körperverletzung an. Erst nach der Fällung des erstinstanzlichen Urteils berief sie sich auf ein angeblich anlässlich der Kollision erlittenes HWS-Schleudertrauma. Sie beantragte eine Ergänzung der Untersuchung wegen fahrlässiger schwerer Körperverletzung und machte adhäsionsweise Zivilansprüche geltend. Inhalt der Anklageschrift waren jedoch keine zum Anwendungsbereich des OHG gehörenden Delikte, so dass sich die Betroffene im Strafverfahren nicht auf Rechte gemäss OHG berufen konnte. Im vorliegenden Fall wurde von Anfang an wegen schwerer Körperverletzung Anklage erhoben und damit wegen eines Delikts, das in den Kernbereich des vom OHG angestrebten Opferschutzes fällt. Der Zweck des OHG erfordert, dass die Opfer solcher Gewaltdelikte die Zivilansprüche, die im Zusammenhang mit der eingeklagten Straftat stehen, im Rahmen des Strafverfahrens geltend machen können. BGE 122 IV 71 E. 4a bedarf daher der Präzisierung. Sofern wegen eines vorsätzlichen Gewaltdelikts Anklage erhoben wurde, ist der Strafrichter gehalten, sich mit den unmittelbaren Folgen des Täterverhaltens in zivilrechtlicher Hinsicht auseinander zu setzen. In diesen Fällen hat er deshalb auf Schadenersatz- und Genugtuungsansprüche einzutreten, die ein Opfer oder eine dem Opfer gleichgestellte Person aufgrund der Deliktsfolgen geltend macht, auch wenn diese vom eingeklagten Tatbestand nicht erfasst wurden. Die Begehren sind dann entsprechend den Grundsätzen des Art. 9 OHG zu behandeln. b) Amir Aruputhai fügte dem Opfer schwerste Verletzungen zu und verweigerte ihm jede Möglichkeit, Hilfe zu holen. In seiner verzweifelten Lage sah es nur noch den Ausweg, aus dem Fenster zu klettern, wobei es das Gleichgewicht verlor und zu Tode stürzte. Im Zusammenhang mit der Strafzumessung hält die Vorinstanz fest, dass Amir Aruputhai sein Opfer recht eigentlich in den Tod getrieben habe und die klare Verantwortung dafür trage. Wenn die Hinterbliebenen deshalb Schadenersatz- und Genugtuungsansprüche aus dem Tod des Opfers geltend machen, hat die Vorinstanz nach dem Gesagten darauf einzutreten, selbst wenn kein Tötungsdelikt Gegenstand der Anklage war. Der Nichteintretensentscheid stellt eine Verletzung von Bundesrecht dar, weshalb die Nichtigkeitsbeschwerde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